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4400" w:type="dxa"/>
        <w:jc w:val="center"/>
        <w:tblBorders>
          <w:top w:val="single" w:sz="8" w:space="0" w:color="000000"/>
          <w:left w:val="single" w:sz="8" w:space="0" w:color="000000"/>
          <w:bottom w:val="single" w:sz="2" w:space="0" w:color="222A35" w:themeColor="text2" w:themeShade="80"/>
          <w:right w:val="single" w:sz="8" w:space="0" w:color="000000"/>
          <w:insideH w:val="single" w:sz="8" w:space="0" w:color="000000"/>
          <w:insideV w:val="single" w:sz="8" w:space="0" w:color="000000"/>
        </w:tblBorders>
        <w:tblLayout w:type="fixed"/>
        <w:tblCellMar>
          <w:top w:w="58" w:type="dxa"/>
          <w:left w:w="58" w:type="dxa"/>
          <w:bottom w:w="58" w:type="dxa"/>
          <w:right w:w="58" w:type="dxa"/>
        </w:tblCellMar>
        <w:tblLook w:val="04A0" w:firstRow="1" w:lastRow="0" w:firstColumn="1" w:lastColumn="0" w:noHBand="0" w:noVBand="1"/>
      </w:tblPr>
      <w:tblGrid>
        <w:gridCol w:w="3410"/>
        <w:gridCol w:w="5495"/>
        <w:gridCol w:w="5495"/>
      </w:tblGrid>
      <w:tr w:rsidR="007B3D82" w:rsidRPr="007B3D82" w14:paraId="73965DAE" w14:textId="77777777" w:rsidTr="005E1D97">
        <w:trPr>
          <w:trHeight w:val="720"/>
          <w:tblHeader/>
          <w:jc w:val="center"/>
        </w:trPr>
        <w:tc>
          <w:tcPr>
            <w:tcW w:w="3410" w:type="dxa"/>
            <w:shd w:val="clear" w:color="auto" w:fill="D9E2F3" w:themeFill="accent1" w:themeFillTint="33"/>
            <w:tcMar>
              <w:top w:w="15" w:type="dxa"/>
              <w:left w:w="71" w:type="dxa"/>
              <w:bottom w:w="0" w:type="dxa"/>
              <w:right w:w="71" w:type="dxa"/>
            </w:tcMar>
            <w:vAlign w:val="center"/>
            <w:hideMark/>
          </w:tcPr>
          <w:p w14:paraId="0726D6E1" w14:textId="77777777" w:rsidR="007B3D82" w:rsidRPr="005E1D97" w:rsidRDefault="007B3D82" w:rsidP="00E54503">
            <w:pPr>
              <w:pStyle w:val="TableColumnHeader"/>
              <w:rPr>
                <w:color w:val="222A35" w:themeColor="text2" w:themeShade="80"/>
                <w:sz w:val="36"/>
                <w:szCs w:val="36"/>
              </w:rPr>
            </w:pPr>
            <w:bookmarkStart w:id="0" w:name="_Hlk8746628"/>
            <w:r w:rsidRPr="005E1D97">
              <w:rPr>
                <w:color w:val="222A35" w:themeColor="text2" w:themeShade="80"/>
              </w:rPr>
              <w:t>RESPONSIBILITIES/</w:t>
            </w:r>
          </w:p>
          <w:p w14:paraId="5411D069" w14:textId="5D26CB03" w:rsidR="007B3D82" w:rsidRPr="005E1D97" w:rsidRDefault="007B3D82" w:rsidP="006A355D">
            <w:pPr>
              <w:pStyle w:val="TableColumnHeader"/>
              <w:rPr>
                <w:color w:val="222A35" w:themeColor="text2" w:themeShade="80"/>
                <w:sz w:val="36"/>
                <w:szCs w:val="36"/>
              </w:rPr>
            </w:pPr>
            <w:r w:rsidRPr="005E1D97">
              <w:rPr>
                <w:color w:val="222A35" w:themeColor="text2" w:themeShade="80"/>
              </w:rPr>
              <w:t>RIGHTS</w:t>
            </w:r>
          </w:p>
        </w:tc>
        <w:tc>
          <w:tcPr>
            <w:tcW w:w="5495" w:type="dxa"/>
            <w:shd w:val="clear" w:color="auto" w:fill="D9E2F3" w:themeFill="accent1" w:themeFillTint="33"/>
            <w:tcMar>
              <w:top w:w="15" w:type="dxa"/>
              <w:left w:w="71" w:type="dxa"/>
              <w:bottom w:w="0" w:type="dxa"/>
              <w:right w:w="71" w:type="dxa"/>
            </w:tcMar>
            <w:vAlign w:val="center"/>
            <w:hideMark/>
          </w:tcPr>
          <w:p w14:paraId="4A75400F" w14:textId="77777777" w:rsidR="007B3D82" w:rsidRPr="005E1D97" w:rsidRDefault="007B3D82" w:rsidP="00E54503">
            <w:pPr>
              <w:pStyle w:val="TableColumnHeader"/>
              <w:rPr>
                <w:color w:val="222A35" w:themeColor="text2" w:themeShade="80"/>
                <w:sz w:val="36"/>
                <w:szCs w:val="36"/>
              </w:rPr>
            </w:pPr>
            <w:r w:rsidRPr="005E1D97">
              <w:rPr>
                <w:rFonts w:eastAsia="Calibri" w:cs="Times New Roman"/>
                <w:color w:val="222A35" w:themeColor="text2" w:themeShade="80"/>
              </w:rPr>
              <w:t>KINSHIP GUARDIANSHIP ASSISTANCE</w:t>
            </w:r>
          </w:p>
        </w:tc>
        <w:tc>
          <w:tcPr>
            <w:tcW w:w="5495" w:type="dxa"/>
            <w:shd w:val="clear" w:color="auto" w:fill="D9E2F3" w:themeFill="accent1" w:themeFillTint="33"/>
            <w:tcMar>
              <w:top w:w="15" w:type="dxa"/>
              <w:left w:w="71" w:type="dxa"/>
              <w:bottom w:w="0" w:type="dxa"/>
              <w:right w:w="71" w:type="dxa"/>
            </w:tcMar>
            <w:vAlign w:val="center"/>
            <w:hideMark/>
          </w:tcPr>
          <w:p w14:paraId="0F275937" w14:textId="77777777" w:rsidR="007B3D82" w:rsidRPr="005E1D97" w:rsidRDefault="007B3D82" w:rsidP="00E54503">
            <w:pPr>
              <w:pStyle w:val="TableColumnHeader"/>
              <w:rPr>
                <w:color w:val="222A35" w:themeColor="text2" w:themeShade="80"/>
                <w:sz w:val="36"/>
                <w:szCs w:val="36"/>
              </w:rPr>
            </w:pPr>
            <w:r w:rsidRPr="005E1D97">
              <w:rPr>
                <w:color w:val="222A35" w:themeColor="text2" w:themeShade="80"/>
              </w:rPr>
              <w:t>ADOPTION</w:t>
            </w:r>
          </w:p>
        </w:tc>
      </w:tr>
      <w:bookmarkEnd w:id="0"/>
      <w:tr w:rsidR="007B3D82" w:rsidRPr="007B3D82" w14:paraId="6184870D" w14:textId="77777777" w:rsidTr="005E1D97">
        <w:trPr>
          <w:trHeight w:val="3601"/>
          <w:jc w:val="center"/>
        </w:trPr>
        <w:tc>
          <w:tcPr>
            <w:tcW w:w="3410" w:type="dxa"/>
            <w:shd w:val="clear" w:color="auto" w:fill="auto"/>
            <w:tcMar>
              <w:top w:w="15" w:type="dxa"/>
              <w:left w:w="71" w:type="dxa"/>
              <w:bottom w:w="0" w:type="dxa"/>
              <w:right w:w="71" w:type="dxa"/>
            </w:tcMar>
            <w:hideMark/>
          </w:tcPr>
          <w:p w14:paraId="6C6579D7" w14:textId="6782911D" w:rsidR="007B3D82" w:rsidRPr="00E54503" w:rsidRDefault="007B3D82" w:rsidP="005A571E">
            <w:pPr>
              <w:pStyle w:val="TableRowHeaders"/>
              <w:spacing w:before="120"/>
              <w:ind w:left="144"/>
            </w:pPr>
            <w:r w:rsidRPr="00E54503">
              <w:t>Legal</w:t>
            </w:r>
          </w:p>
        </w:tc>
        <w:tc>
          <w:tcPr>
            <w:tcW w:w="5495" w:type="dxa"/>
            <w:shd w:val="clear" w:color="auto" w:fill="auto"/>
            <w:tcMar>
              <w:top w:w="15" w:type="dxa"/>
              <w:left w:w="71" w:type="dxa"/>
              <w:bottom w:w="0" w:type="dxa"/>
              <w:right w:w="71" w:type="dxa"/>
            </w:tcMar>
            <w:hideMark/>
          </w:tcPr>
          <w:p w14:paraId="0C0022BF" w14:textId="5D5D7852" w:rsidR="007B3D82" w:rsidRPr="007B3D82" w:rsidRDefault="007B3D82" w:rsidP="00A24A15">
            <w:pPr>
              <w:pStyle w:val="TableBodyText"/>
              <w:rPr>
                <w:rFonts w:eastAsia="Times New Roman" w:cs="Arial"/>
                <w:sz w:val="36"/>
                <w:szCs w:val="36"/>
              </w:rPr>
            </w:pPr>
            <w:r w:rsidRPr="007B3D82">
              <w:t>Relative guardian has right to physical custody and control of the child</w:t>
            </w:r>
            <w:r w:rsidR="00F0007F">
              <w:t xml:space="preserve"> until age </w:t>
            </w:r>
            <w:r w:rsidR="007C5DA0">
              <w:t xml:space="preserve">18 or until age </w:t>
            </w:r>
            <w:r w:rsidR="00F0007F">
              <w:t>2</w:t>
            </w:r>
            <w:r w:rsidR="00963CE4">
              <w:t>1</w:t>
            </w:r>
            <w:r w:rsidR="007C5DA0">
              <w:t>, if the child consents</w:t>
            </w:r>
            <w:r w:rsidRPr="007B3D82">
              <w:t xml:space="preserve">.  They are responsible for day-to-day care, supervision and daily decision-making. </w:t>
            </w:r>
          </w:p>
          <w:p w14:paraId="11F0FFF1" w14:textId="2BF825CA" w:rsidR="00F65830" w:rsidRDefault="00F65830" w:rsidP="00A24A15">
            <w:pPr>
              <w:pStyle w:val="TableBodyText"/>
            </w:pPr>
          </w:p>
          <w:p w14:paraId="69CE7386" w14:textId="221EB5A0" w:rsidR="00963CE4" w:rsidRDefault="00963CE4" w:rsidP="00A24A15">
            <w:pPr>
              <w:pStyle w:val="TableBodyText"/>
            </w:pPr>
            <w:r>
              <w:t xml:space="preserve">DSS and Family Court are no longer actively involved in the case. </w:t>
            </w:r>
          </w:p>
          <w:p w14:paraId="25AC7281" w14:textId="77777777" w:rsidR="00963CE4" w:rsidRDefault="00963CE4" w:rsidP="00A24A15">
            <w:pPr>
              <w:pStyle w:val="TableBodyText"/>
            </w:pPr>
          </w:p>
          <w:p w14:paraId="7C41B3C1" w14:textId="659777C5" w:rsidR="007B3D82" w:rsidRPr="007B3D82" w:rsidRDefault="007B3D82" w:rsidP="00A24A15">
            <w:pPr>
              <w:pStyle w:val="TableBodyText"/>
              <w:rPr>
                <w:rFonts w:eastAsia="Times New Roman" w:cs="Arial"/>
                <w:sz w:val="36"/>
                <w:szCs w:val="36"/>
              </w:rPr>
            </w:pPr>
            <w:r w:rsidRPr="007B3D82">
              <w:t xml:space="preserve">Birth parents may petition the Court for return of child if prove change in circumstances that allow for proper care of the child. </w:t>
            </w:r>
          </w:p>
        </w:tc>
        <w:tc>
          <w:tcPr>
            <w:tcW w:w="5495" w:type="dxa"/>
            <w:shd w:val="clear" w:color="auto" w:fill="auto"/>
            <w:tcMar>
              <w:top w:w="15" w:type="dxa"/>
              <w:left w:w="71" w:type="dxa"/>
              <w:bottom w:w="0" w:type="dxa"/>
              <w:right w:w="71" w:type="dxa"/>
            </w:tcMar>
            <w:hideMark/>
          </w:tcPr>
          <w:p w14:paraId="7F99E00E" w14:textId="77777777" w:rsidR="007B3D82" w:rsidRPr="007B3D82" w:rsidRDefault="007B3D82" w:rsidP="00A24A15">
            <w:pPr>
              <w:pStyle w:val="TableBodyText"/>
              <w:rPr>
                <w:rFonts w:eastAsia="Times New Roman" w:cs="Arial"/>
                <w:sz w:val="36"/>
                <w:szCs w:val="36"/>
              </w:rPr>
            </w:pPr>
            <w:r w:rsidRPr="007B3D82">
              <w:rPr>
                <w:rFonts w:eastAsia="Times New Roman" w:cs="Arial"/>
              </w:rPr>
              <w:t xml:space="preserve">Adoptive parents have full legal, parental &amp; financial responsibilities for the child.  All decisions made by adoptive parents. </w:t>
            </w:r>
          </w:p>
          <w:p w14:paraId="7AB65B8B" w14:textId="0F36D6B3" w:rsidR="00963CE4" w:rsidRDefault="00963CE4" w:rsidP="00A24A15">
            <w:pPr>
              <w:pStyle w:val="TableBodyText"/>
              <w:rPr>
                <w:rFonts w:eastAsia="Times New Roman" w:cs="Arial"/>
              </w:rPr>
            </w:pPr>
          </w:p>
          <w:p w14:paraId="5B8558ED" w14:textId="2B4B4356" w:rsidR="00963CE4" w:rsidRDefault="00963CE4" w:rsidP="00A24A15">
            <w:pPr>
              <w:pStyle w:val="TableBodyText"/>
              <w:rPr>
                <w:rFonts w:eastAsia="Times New Roman" w:cs="Arial"/>
              </w:rPr>
            </w:pPr>
            <w:r w:rsidRPr="00963CE4">
              <w:rPr>
                <w:rFonts w:eastAsia="Times New Roman" w:cs="Arial"/>
              </w:rPr>
              <w:t>DSS and Family Court are no longer actively involved in the case.</w:t>
            </w:r>
          </w:p>
          <w:p w14:paraId="3E5E5860" w14:textId="77777777" w:rsidR="00F65830" w:rsidRDefault="00F65830" w:rsidP="00A24A15">
            <w:pPr>
              <w:pStyle w:val="TableBodyText"/>
              <w:rPr>
                <w:rFonts w:eastAsia="Times New Roman" w:cs="Arial"/>
              </w:rPr>
            </w:pPr>
          </w:p>
          <w:p w14:paraId="35F05F4B" w14:textId="70E5977B" w:rsidR="007B3D82" w:rsidRPr="007B3D82" w:rsidRDefault="007C5DA0" w:rsidP="00A24A15">
            <w:pPr>
              <w:pStyle w:val="TableBodyText"/>
              <w:rPr>
                <w:rFonts w:eastAsia="Times New Roman" w:cs="Arial"/>
                <w:sz w:val="36"/>
                <w:szCs w:val="36"/>
              </w:rPr>
            </w:pPr>
            <w:r>
              <w:rPr>
                <w:rFonts w:eastAsia="Times New Roman" w:cs="Arial"/>
              </w:rPr>
              <w:t>A</w:t>
            </w:r>
            <w:r w:rsidR="007B3D82" w:rsidRPr="007B3D82">
              <w:rPr>
                <w:rFonts w:eastAsia="Times New Roman" w:cs="Arial"/>
              </w:rPr>
              <w:t>doption cannot be overturned based on a change in birth parents’ circumstances.</w:t>
            </w:r>
            <w:r w:rsidR="008A0A6B">
              <w:rPr>
                <w:rFonts w:eastAsia="Times New Roman" w:cs="Arial"/>
              </w:rPr>
              <w:t xml:space="preserve"> </w:t>
            </w:r>
            <w:r>
              <w:rPr>
                <w:rFonts w:eastAsia="Times New Roman" w:cs="Arial"/>
              </w:rPr>
              <w:t xml:space="preserve">An order of adoption may be opened, vacated or set aside for fraud, newly discovered evidence or other sufficient cause.  </w:t>
            </w:r>
          </w:p>
        </w:tc>
      </w:tr>
      <w:tr w:rsidR="007B3D82" w:rsidRPr="007B3D82" w14:paraId="5CD008BE" w14:textId="77777777" w:rsidTr="005E1D97">
        <w:trPr>
          <w:trHeight w:val="2386"/>
          <w:jc w:val="center"/>
        </w:trPr>
        <w:tc>
          <w:tcPr>
            <w:tcW w:w="3410" w:type="dxa"/>
            <w:shd w:val="clear" w:color="auto" w:fill="auto"/>
            <w:tcMar>
              <w:top w:w="15" w:type="dxa"/>
              <w:left w:w="71" w:type="dxa"/>
              <w:bottom w:w="0" w:type="dxa"/>
              <w:right w:w="71" w:type="dxa"/>
            </w:tcMar>
            <w:hideMark/>
          </w:tcPr>
          <w:p w14:paraId="4740B5EB" w14:textId="6826CD8E" w:rsidR="007B3D82" w:rsidRPr="00E54503" w:rsidRDefault="007B3D82" w:rsidP="005A571E">
            <w:pPr>
              <w:pStyle w:val="TableRowHeaders"/>
              <w:spacing w:before="120"/>
              <w:ind w:left="144"/>
            </w:pPr>
            <w:r w:rsidRPr="00E54503">
              <w:t>Birth Parents</w:t>
            </w:r>
          </w:p>
        </w:tc>
        <w:tc>
          <w:tcPr>
            <w:tcW w:w="5495" w:type="dxa"/>
            <w:shd w:val="clear" w:color="auto" w:fill="auto"/>
            <w:tcMar>
              <w:top w:w="15" w:type="dxa"/>
              <w:left w:w="71" w:type="dxa"/>
              <w:bottom w:w="0" w:type="dxa"/>
              <w:right w:w="71" w:type="dxa"/>
            </w:tcMar>
            <w:hideMark/>
          </w:tcPr>
          <w:p w14:paraId="7BA76BB1" w14:textId="1E96AC38" w:rsidR="00E54503" w:rsidRPr="007B3D82" w:rsidRDefault="007B3D82" w:rsidP="005A571E">
            <w:pPr>
              <w:pStyle w:val="TableBodyText"/>
              <w:spacing w:before="120"/>
            </w:pPr>
            <w:r w:rsidRPr="007B3D82">
              <w:t xml:space="preserve">Suspends the birth parents decision-making responsibility.  Birth </w:t>
            </w:r>
            <w:r w:rsidR="00F65830" w:rsidRPr="007B3D82">
              <w:t>parents’</w:t>
            </w:r>
            <w:r w:rsidRPr="007B3D82">
              <w:t xml:space="preserve"> rights may or may not be terminated, but not necessary. </w:t>
            </w:r>
          </w:p>
          <w:p w14:paraId="01C46124" w14:textId="77777777" w:rsidR="007B3D82" w:rsidRPr="007B3D82" w:rsidRDefault="007B3D82" w:rsidP="005A571E">
            <w:pPr>
              <w:pStyle w:val="TableBodyText"/>
              <w:spacing w:before="120"/>
              <w:rPr>
                <w:sz w:val="36"/>
                <w:szCs w:val="36"/>
              </w:rPr>
            </w:pPr>
            <w:r w:rsidRPr="007B3D82">
              <w:t>Certain rights and responsibilities i.e. child support, consent to adoption, visitation may be retained by birth parents.</w:t>
            </w:r>
          </w:p>
        </w:tc>
        <w:tc>
          <w:tcPr>
            <w:tcW w:w="5495" w:type="dxa"/>
            <w:shd w:val="clear" w:color="auto" w:fill="auto"/>
            <w:tcMar>
              <w:top w:w="15" w:type="dxa"/>
              <w:left w:w="71" w:type="dxa"/>
              <w:bottom w:w="0" w:type="dxa"/>
              <w:right w:w="71" w:type="dxa"/>
            </w:tcMar>
            <w:hideMark/>
          </w:tcPr>
          <w:p w14:paraId="65CF4D29" w14:textId="1A15EC82" w:rsidR="007B3D82" w:rsidRPr="007B3D82" w:rsidRDefault="007B3D82" w:rsidP="005A571E">
            <w:pPr>
              <w:pStyle w:val="TableBodyText"/>
              <w:spacing w:before="120"/>
              <w:rPr>
                <w:sz w:val="36"/>
                <w:szCs w:val="36"/>
              </w:rPr>
            </w:pPr>
            <w:r w:rsidRPr="007B3D82">
              <w:t xml:space="preserve">Terminates the child’s legal relationship with the birth parents. </w:t>
            </w:r>
            <w:r w:rsidR="00F65830" w:rsidRPr="007B3D82">
              <w:t>However,</w:t>
            </w:r>
            <w:r w:rsidRPr="007B3D82">
              <w:t xml:space="preserve"> contacts may continue with the agreement of all parties (conditional adoption)</w:t>
            </w:r>
            <w:r w:rsidR="007C5DA0">
              <w:t xml:space="preserve"> and approval of the court</w:t>
            </w:r>
            <w:r w:rsidRPr="007B3D82">
              <w:t>.</w:t>
            </w:r>
          </w:p>
        </w:tc>
      </w:tr>
      <w:tr w:rsidR="007B3D82" w:rsidRPr="007B3D82" w14:paraId="4729F818" w14:textId="77777777" w:rsidTr="005E1D97">
        <w:trPr>
          <w:trHeight w:val="1041"/>
          <w:jc w:val="center"/>
        </w:trPr>
        <w:tc>
          <w:tcPr>
            <w:tcW w:w="3410" w:type="dxa"/>
            <w:shd w:val="clear" w:color="auto" w:fill="auto"/>
            <w:tcMar>
              <w:top w:w="15" w:type="dxa"/>
              <w:left w:w="71" w:type="dxa"/>
              <w:bottom w:w="0" w:type="dxa"/>
              <w:right w:w="71" w:type="dxa"/>
            </w:tcMar>
            <w:hideMark/>
          </w:tcPr>
          <w:p w14:paraId="0C2A38F7" w14:textId="753E2E4F" w:rsidR="007B3D82" w:rsidRPr="00E54503" w:rsidRDefault="007B3D82" w:rsidP="005A571E">
            <w:pPr>
              <w:pStyle w:val="TableRowHeaders"/>
              <w:spacing w:before="120"/>
              <w:ind w:left="144"/>
            </w:pPr>
            <w:r w:rsidRPr="00E54503">
              <w:t>Daycare</w:t>
            </w:r>
          </w:p>
        </w:tc>
        <w:tc>
          <w:tcPr>
            <w:tcW w:w="5495" w:type="dxa"/>
            <w:shd w:val="clear" w:color="auto" w:fill="auto"/>
            <w:tcMar>
              <w:top w:w="15" w:type="dxa"/>
              <w:left w:w="71" w:type="dxa"/>
              <w:bottom w:w="0" w:type="dxa"/>
              <w:right w:w="71" w:type="dxa"/>
            </w:tcMar>
            <w:hideMark/>
          </w:tcPr>
          <w:p w14:paraId="4AD80CBC" w14:textId="77777777" w:rsidR="007B3D82" w:rsidRPr="007B3D82" w:rsidRDefault="007B3D82" w:rsidP="005A571E">
            <w:pPr>
              <w:pStyle w:val="TableBodyText"/>
              <w:spacing w:before="120"/>
              <w:rPr>
                <w:rFonts w:eastAsia="Times New Roman" w:cs="Arial"/>
                <w:sz w:val="36"/>
                <w:szCs w:val="36"/>
              </w:rPr>
            </w:pPr>
            <w:r w:rsidRPr="007B3D82">
              <w:t xml:space="preserve">Daycare eligibility based on </w:t>
            </w:r>
            <w:r w:rsidRPr="007B3D82">
              <w:rPr>
                <w:u w:val="single"/>
              </w:rPr>
              <w:t>family</w:t>
            </w:r>
            <w:r w:rsidRPr="007B3D82">
              <w:t>’s income however, KinGAP subsidy not included when assessing income.</w:t>
            </w:r>
          </w:p>
        </w:tc>
        <w:tc>
          <w:tcPr>
            <w:tcW w:w="5495" w:type="dxa"/>
            <w:shd w:val="clear" w:color="auto" w:fill="auto"/>
            <w:tcMar>
              <w:top w:w="15" w:type="dxa"/>
              <w:left w:w="71" w:type="dxa"/>
              <w:bottom w:w="0" w:type="dxa"/>
              <w:right w:w="71" w:type="dxa"/>
            </w:tcMar>
            <w:hideMark/>
          </w:tcPr>
          <w:p w14:paraId="5D6D5A31" w14:textId="3FFB4227" w:rsidR="007B3D82" w:rsidRPr="007B3D82" w:rsidRDefault="007B3D82" w:rsidP="005A571E">
            <w:pPr>
              <w:pStyle w:val="TableBodyText"/>
              <w:spacing w:before="120"/>
              <w:rPr>
                <w:sz w:val="36"/>
                <w:szCs w:val="36"/>
              </w:rPr>
            </w:pPr>
            <w:r w:rsidRPr="007B3D82">
              <w:t xml:space="preserve">Daycare eligibility based on adoptive </w:t>
            </w:r>
            <w:r w:rsidRPr="007B3D82">
              <w:rPr>
                <w:u w:val="single"/>
              </w:rPr>
              <w:t xml:space="preserve">parent’s </w:t>
            </w:r>
            <w:r w:rsidRPr="007B3D82">
              <w:t>employment, family size and income.</w:t>
            </w:r>
            <w:r w:rsidR="007C5DA0">
              <w:t xml:space="preserve">  May be available as a preventive service.</w:t>
            </w:r>
          </w:p>
        </w:tc>
      </w:tr>
      <w:tr w:rsidR="00D06CC3" w:rsidRPr="007B3D82" w14:paraId="2CFAE46A" w14:textId="77777777" w:rsidTr="005E1D97">
        <w:trPr>
          <w:trHeight w:val="1440"/>
          <w:jc w:val="center"/>
        </w:trPr>
        <w:tc>
          <w:tcPr>
            <w:tcW w:w="3410" w:type="dxa"/>
            <w:shd w:val="clear" w:color="auto" w:fill="auto"/>
            <w:tcMar>
              <w:top w:w="15" w:type="dxa"/>
              <w:left w:w="71" w:type="dxa"/>
              <w:bottom w:w="0" w:type="dxa"/>
              <w:right w:w="71" w:type="dxa"/>
            </w:tcMar>
            <w:hideMark/>
          </w:tcPr>
          <w:p w14:paraId="4344B69D" w14:textId="270BA7B3" w:rsidR="00D06CC3" w:rsidRPr="00E54503" w:rsidRDefault="00D06CC3" w:rsidP="005A571E">
            <w:pPr>
              <w:pStyle w:val="TableRowHeaders"/>
              <w:spacing w:before="120"/>
              <w:ind w:left="144"/>
            </w:pPr>
            <w:r w:rsidRPr="00E54503">
              <w:lastRenderedPageBreak/>
              <w:t>Legal Fees</w:t>
            </w:r>
          </w:p>
        </w:tc>
        <w:tc>
          <w:tcPr>
            <w:tcW w:w="5495" w:type="dxa"/>
            <w:shd w:val="clear" w:color="auto" w:fill="auto"/>
            <w:tcMar>
              <w:top w:w="15" w:type="dxa"/>
              <w:left w:w="71" w:type="dxa"/>
              <w:bottom w:w="0" w:type="dxa"/>
              <w:right w:w="71" w:type="dxa"/>
            </w:tcMar>
            <w:hideMark/>
          </w:tcPr>
          <w:p w14:paraId="3E1E6BEB" w14:textId="76922E60" w:rsidR="00D06CC3" w:rsidRPr="007B3D82" w:rsidRDefault="00D06CC3" w:rsidP="005A571E">
            <w:pPr>
              <w:pStyle w:val="TableBodyText"/>
              <w:spacing w:before="120"/>
              <w:rPr>
                <w:rFonts w:eastAsia="Times New Roman"/>
                <w:sz w:val="36"/>
                <w:szCs w:val="36"/>
              </w:rPr>
            </w:pPr>
            <w:r w:rsidRPr="007B3D82">
              <w:t>May receive a one-time payment for legal fees related to receiving guardianship up to $2,000 per child.  </w:t>
            </w:r>
          </w:p>
        </w:tc>
        <w:tc>
          <w:tcPr>
            <w:tcW w:w="5495" w:type="dxa"/>
            <w:shd w:val="clear" w:color="auto" w:fill="auto"/>
            <w:tcMar>
              <w:top w:w="15" w:type="dxa"/>
              <w:left w:w="71" w:type="dxa"/>
              <w:bottom w:w="0" w:type="dxa"/>
              <w:right w:w="71" w:type="dxa"/>
            </w:tcMar>
            <w:hideMark/>
          </w:tcPr>
          <w:p w14:paraId="301EE9C5" w14:textId="32F1307D" w:rsidR="00D06CC3" w:rsidRPr="007B3D82" w:rsidRDefault="00D06CC3" w:rsidP="005A571E">
            <w:pPr>
              <w:pStyle w:val="TableBodyText"/>
              <w:spacing w:before="120"/>
              <w:rPr>
                <w:rFonts w:eastAsia="Times New Roman"/>
                <w:sz w:val="36"/>
                <w:szCs w:val="36"/>
              </w:rPr>
            </w:pPr>
            <w:r w:rsidRPr="007B3D82">
              <w:t xml:space="preserve">Adoption finalization costs may be covered under subsidy </w:t>
            </w:r>
            <w:r w:rsidR="007C5DA0">
              <w:t>agreement</w:t>
            </w:r>
            <w:r w:rsidRPr="007B3D82">
              <w:t xml:space="preserve"> up to $2,000 per child.</w:t>
            </w:r>
          </w:p>
        </w:tc>
      </w:tr>
      <w:tr w:rsidR="00D06CC3" w:rsidRPr="007B3D82" w14:paraId="14D57D4B" w14:textId="77777777" w:rsidTr="005E1D97">
        <w:trPr>
          <w:trHeight w:val="1945"/>
          <w:jc w:val="center"/>
        </w:trPr>
        <w:tc>
          <w:tcPr>
            <w:tcW w:w="3410" w:type="dxa"/>
            <w:shd w:val="clear" w:color="auto" w:fill="auto"/>
            <w:tcMar>
              <w:top w:w="15" w:type="dxa"/>
              <w:left w:w="71" w:type="dxa"/>
              <w:bottom w:w="0" w:type="dxa"/>
              <w:right w:w="71" w:type="dxa"/>
            </w:tcMar>
          </w:tcPr>
          <w:p w14:paraId="473B48CA" w14:textId="514CE17C" w:rsidR="00D06CC3" w:rsidRPr="00E54503" w:rsidRDefault="00D06CC3" w:rsidP="005A571E">
            <w:pPr>
              <w:pStyle w:val="TableRowHeaders"/>
              <w:spacing w:before="120"/>
              <w:ind w:left="144"/>
            </w:pPr>
            <w:r w:rsidRPr="00E54503">
              <w:t>Independent Living</w:t>
            </w:r>
            <w:r w:rsidR="00E54503">
              <w:t xml:space="preserve"> </w:t>
            </w:r>
            <w:r w:rsidRPr="00E54503">
              <w:t>Services and Education</w:t>
            </w:r>
            <w:r w:rsidR="00E54503">
              <w:t xml:space="preserve"> </w:t>
            </w:r>
            <w:r w:rsidRPr="00E54503">
              <w:t>and Training Vouchers</w:t>
            </w:r>
          </w:p>
        </w:tc>
        <w:tc>
          <w:tcPr>
            <w:tcW w:w="5495" w:type="dxa"/>
            <w:shd w:val="clear" w:color="auto" w:fill="auto"/>
            <w:tcMar>
              <w:top w:w="15" w:type="dxa"/>
              <w:left w:w="71" w:type="dxa"/>
              <w:bottom w:w="0" w:type="dxa"/>
              <w:right w:w="71" w:type="dxa"/>
            </w:tcMar>
          </w:tcPr>
          <w:p w14:paraId="48645529" w14:textId="681323A9" w:rsidR="00D06CC3" w:rsidRPr="007B3D82" w:rsidRDefault="00D06CC3" w:rsidP="005A571E">
            <w:pPr>
              <w:pStyle w:val="TableBodyText"/>
              <w:spacing w:before="120"/>
            </w:pPr>
            <w:r w:rsidRPr="007B3D82">
              <w:t xml:space="preserve">If child age 16 or older when enter guardianship, eligible for independent living services such as vocational training and may apply for the ETV for up to $5,000 toward post-secondary education or vocational training. Now up to age 26. </w:t>
            </w:r>
          </w:p>
        </w:tc>
        <w:tc>
          <w:tcPr>
            <w:tcW w:w="5495" w:type="dxa"/>
            <w:shd w:val="clear" w:color="auto" w:fill="auto"/>
            <w:tcMar>
              <w:top w:w="15" w:type="dxa"/>
              <w:left w:w="71" w:type="dxa"/>
              <w:bottom w:w="0" w:type="dxa"/>
              <w:right w:w="71" w:type="dxa"/>
            </w:tcMar>
          </w:tcPr>
          <w:p w14:paraId="4C23CF53" w14:textId="196E0D3A" w:rsidR="00D06CC3" w:rsidRPr="007B3D82" w:rsidRDefault="00D06CC3" w:rsidP="005A571E">
            <w:pPr>
              <w:pStyle w:val="TableBodyText"/>
              <w:spacing w:before="120"/>
            </w:pPr>
            <w:r w:rsidRPr="007B3D82">
              <w:t xml:space="preserve">If child age 16 or older when adopted, eligible for some independent living services such as vocational training and may apply for the ETV for up to $5,000 toward post-secondary education or vocational training. Now up to age 26. </w:t>
            </w:r>
          </w:p>
        </w:tc>
      </w:tr>
      <w:tr w:rsidR="00D06CC3" w:rsidRPr="007B3D82" w14:paraId="5A058DDB" w14:textId="77777777" w:rsidTr="005E1D97">
        <w:trPr>
          <w:trHeight w:val="1440"/>
          <w:jc w:val="center"/>
        </w:trPr>
        <w:tc>
          <w:tcPr>
            <w:tcW w:w="3410" w:type="dxa"/>
            <w:shd w:val="clear" w:color="auto" w:fill="auto"/>
            <w:tcMar>
              <w:top w:w="15" w:type="dxa"/>
              <w:left w:w="71" w:type="dxa"/>
              <w:bottom w:w="0" w:type="dxa"/>
              <w:right w:w="71" w:type="dxa"/>
            </w:tcMar>
          </w:tcPr>
          <w:p w14:paraId="7FF75ACA" w14:textId="0BB173A7" w:rsidR="00D06CC3" w:rsidRPr="00E54503" w:rsidRDefault="00D06CC3" w:rsidP="005A571E">
            <w:pPr>
              <w:pStyle w:val="TableRowHeaders"/>
              <w:spacing w:before="120"/>
              <w:ind w:left="144"/>
            </w:pPr>
            <w:r w:rsidRPr="00E54503">
              <w:t>Financial Assistance</w:t>
            </w:r>
          </w:p>
        </w:tc>
        <w:tc>
          <w:tcPr>
            <w:tcW w:w="5495" w:type="dxa"/>
            <w:shd w:val="clear" w:color="auto" w:fill="auto"/>
            <w:tcMar>
              <w:top w:w="15" w:type="dxa"/>
              <w:left w:w="71" w:type="dxa"/>
              <w:bottom w:w="0" w:type="dxa"/>
              <w:right w:w="71" w:type="dxa"/>
            </w:tcMar>
          </w:tcPr>
          <w:p w14:paraId="4F630526" w14:textId="00F2EE2C" w:rsidR="00D06CC3" w:rsidRPr="007B3D82" w:rsidRDefault="00D06CC3" w:rsidP="005A571E">
            <w:pPr>
              <w:pStyle w:val="TableBodyText"/>
              <w:spacing w:before="120"/>
            </w:pPr>
            <w:r w:rsidRPr="00F65830">
              <w:t>Child is eligible for a Kinship Guardianship subsidy unless the guardianship ends,</w:t>
            </w:r>
            <w:r>
              <w:t xml:space="preserve"> or child reaches the age </w:t>
            </w:r>
            <w:r w:rsidR="007C5DA0">
              <w:t>18 or 21 if the child consents</w:t>
            </w:r>
            <w:r>
              <w:t xml:space="preserve">, </w:t>
            </w:r>
            <w:r w:rsidR="005B30B5">
              <w:t>the relative guardian is no longer legally responsible for the support of the child or the child is no longer receiving any support from the relative guardian</w:t>
            </w:r>
            <w:r w:rsidRPr="00F65830">
              <w:t xml:space="preserve">. </w:t>
            </w:r>
          </w:p>
        </w:tc>
        <w:tc>
          <w:tcPr>
            <w:tcW w:w="5495" w:type="dxa"/>
            <w:shd w:val="clear" w:color="auto" w:fill="auto"/>
            <w:tcMar>
              <w:top w:w="15" w:type="dxa"/>
              <w:left w:w="71" w:type="dxa"/>
              <w:bottom w:w="0" w:type="dxa"/>
              <w:right w:w="71" w:type="dxa"/>
            </w:tcMar>
          </w:tcPr>
          <w:p w14:paraId="24C94FC2" w14:textId="02A7D04D" w:rsidR="00D06CC3" w:rsidRPr="007B3D82" w:rsidRDefault="00D06CC3" w:rsidP="005A571E">
            <w:pPr>
              <w:pStyle w:val="TableBodyText"/>
              <w:spacing w:before="120"/>
            </w:pPr>
            <w:r>
              <w:t xml:space="preserve">Child may be eligible for an adoption subsidy if certain criteria are met until age 21, unless </w:t>
            </w:r>
            <w:r w:rsidR="005B30B5">
              <w:t>the adoptive parent is no longer legally responsible for the support of the child (for example, child becomes married or enters the military) or is no longer providing any support for the child</w:t>
            </w:r>
            <w:r>
              <w:t xml:space="preserve">. </w:t>
            </w:r>
          </w:p>
        </w:tc>
      </w:tr>
      <w:tr w:rsidR="00D06CC3" w:rsidRPr="007B3D82" w14:paraId="5B7FBB84" w14:textId="77777777" w:rsidTr="005E1D97">
        <w:trPr>
          <w:trHeight w:val="1440"/>
          <w:jc w:val="center"/>
        </w:trPr>
        <w:tc>
          <w:tcPr>
            <w:tcW w:w="3410" w:type="dxa"/>
            <w:shd w:val="clear" w:color="auto" w:fill="auto"/>
            <w:tcMar>
              <w:top w:w="15" w:type="dxa"/>
              <w:left w:w="71" w:type="dxa"/>
              <w:bottom w:w="0" w:type="dxa"/>
              <w:right w:w="71" w:type="dxa"/>
            </w:tcMar>
          </w:tcPr>
          <w:p w14:paraId="6FA237ED" w14:textId="0EF1C7BF" w:rsidR="00D06CC3" w:rsidRPr="00E54503" w:rsidRDefault="00D06CC3" w:rsidP="005A571E">
            <w:pPr>
              <w:pStyle w:val="TableRowHeaders"/>
              <w:spacing w:before="120"/>
              <w:ind w:left="144"/>
            </w:pPr>
            <w:r w:rsidRPr="00E54503">
              <w:t>Tax Credits</w:t>
            </w:r>
          </w:p>
        </w:tc>
        <w:tc>
          <w:tcPr>
            <w:tcW w:w="5495" w:type="dxa"/>
            <w:shd w:val="clear" w:color="auto" w:fill="auto"/>
            <w:tcMar>
              <w:top w:w="15" w:type="dxa"/>
              <w:left w:w="71" w:type="dxa"/>
              <w:bottom w:w="0" w:type="dxa"/>
              <w:right w:w="71" w:type="dxa"/>
            </w:tcMar>
          </w:tcPr>
          <w:p w14:paraId="3D488332" w14:textId="51B53D98" w:rsidR="00D06CC3" w:rsidRPr="00F65830" w:rsidRDefault="00D06CC3" w:rsidP="005A571E">
            <w:pPr>
              <w:pStyle w:val="TableBodyText"/>
              <w:spacing w:before="120"/>
            </w:pPr>
            <w:r>
              <w:t xml:space="preserve">No tax credit available specifically for guardianships. May be eligible for other child tax credits, such as earned income tax credit and dependent care credit. </w:t>
            </w:r>
          </w:p>
        </w:tc>
        <w:tc>
          <w:tcPr>
            <w:tcW w:w="5495" w:type="dxa"/>
            <w:shd w:val="clear" w:color="auto" w:fill="auto"/>
            <w:tcMar>
              <w:top w:w="15" w:type="dxa"/>
              <w:left w:w="71" w:type="dxa"/>
              <w:bottom w:w="0" w:type="dxa"/>
              <w:right w:w="71" w:type="dxa"/>
            </w:tcMar>
          </w:tcPr>
          <w:p w14:paraId="21DDF7FF" w14:textId="3C1C5204" w:rsidR="00D06CC3" w:rsidRPr="007B3D82" w:rsidRDefault="00D06CC3" w:rsidP="005A571E">
            <w:pPr>
              <w:pStyle w:val="TableBodyText"/>
              <w:spacing w:before="120"/>
            </w:pPr>
            <w:r w:rsidRPr="005345B7">
              <w:t>Adoptive parent(s) can claim child as a dependent for tax purposes.  A substantial lump sum federal tax credit may be available for expenses related to the adoption.</w:t>
            </w:r>
          </w:p>
        </w:tc>
      </w:tr>
    </w:tbl>
    <w:p w14:paraId="221FF63C" w14:textId="1A537CB3" w:rsidR="00A20D12" w:rsidRDefault="00A20D12" w:rsidP="00046B4B"/>
    <w:sectPr w:rsidR="00A20D12" w:rsidSect="0056464E">
      <w:headerReference w:type="even" r:id="rId10"/>
      <w:headerReference w:type="default" r:id="rId11"/>
      <w:footerReference w:type="even" r:id="rId12"/>
      <w:footerReference w:type="default" r:id="rId13"/>
      <w:headerReference w:type="first" r:id="rId14"/>
      <w:footerReference w:type="first" r:id="rId15"/>
      <w:pgSz w:w="15840" w:h="12240" w:orient="landscape" w:code="1"/>
      <w:pgMar w:top="1008" w:right="720" w:bottom="1008"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558E19" w14:textId="77777777" w:rsidR="00527399" w:rsidRDefault="00527399" w:rsidP="007B3D82">
      <w:pPr>
        <w:spacing w:after="0" w:line="240" w:lineRule="auto"/>
      </w:pPr>
      <w:r>
        <w:separator/>
      </w:r>
    </w:p>
  </w:endnote>
  <w:endnote w:type="continuationSeparator" w:id="0">
    <w:p w14:paraId="380F0DD0" w14:textId="77777777" w:rsidR="00527399" w:rsidRDefault="00527399" w:rsidP="007B3D82">
      <w:pPr>
        <w:spacing w:after="0" w:line="240" w:lineRule="auto"/>
      </w:pPr>
      <w:r>
        <w:continuationSeparator/>
      </w:r>
    </w:p>
  </w:endnote>
  <w:endnote w:type="continuationNotice" w:id="1">
    <w:p w14:paraId="561A08E6" w14:textId="77777777" w:rsidR="00527399" w:rsidRDefault="0052739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078C9B" w14:textId="77777777" w:rsidR="004100CF" w:rsidRDefault="004100C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7F6E08" w14:textId="73C26A00" w:rsidR="00350923" w:rsidRDefault="00522A57" w:rsidP="00046B4B">
    <w:pPr>
      <w:spacing w:after="0"/>
      <w:jc w:val="center"/>
    </w:pPr>
    <w:r>
      <w:t xml:space="preserve">Created in collaboration with </w:t>
    </w:r>
    <w:r w:rsidR="00350923">
      <w:t xml:space="preserve">Erie County </w:t>
    </w:r>
    <w:r w:rsidR="007E3CCF">
      <w:t xml:space="preserve">and Onondaga County DSS, </w:t>
    </w:r>
    <w:r>
      <w:t>the ABA Center on Children and the Law</w:t>
    </w:r>
    <w:r w:rsidR="007E3CCF">
      <w:t>,</w:t>
    </w:r>
    <w:r>
      <w:t xml:space="preserve"> and Casey Family Programs</w:t>
    </w:r>
  </w:p>
  <w:p w14:paraId="5D8ED008" w14:textId="7A9B0499" w:rsidR="00F7044C" w:rsidRDefault="00046B4B" w:rsidP="00046B4B">
    <w:pPr>
      <w:tabs>
        <w:tab w:val="right" w:pos="13500"/>
      </w:tabs>
      <w:spacing w:after="0"/>
      <w:ind w:firstLine="720"/>
    </w:pPr>
    <w:r>
      <w:tab/>
    </w:r>
    <w:r w:rsidR="0057022F">
      <w:t>Rev. 10/2020</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72A1E2" w14:textId="77777777" w:rsidR="004100CF" w:rsidRDefault="004100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B6E49F" w14:textId="77777777" w:rsidR="00527399" w:rsidRDefault="00527399" w:rsidP="007B3D82">
      <w:pPr>
        <w:spacing w:after="0" w:line="240" w:lineRule="auto"/>
      </w:pPr>
      <w:r>
        <w:separator/>
      </w:r>
    </w:p>
  </w:footnote>
  <w:footnote w:type="continuationSeparator" w:id="0">
    <w:p w14:paraId="30BB2F8E" w14:textId="77777777" w:rsidR="00527399" w:rsidRDefault="00527399" w:rsidP="007B3D82">
      <w:pPr>
        <w:spacing w:after="0" w:line="240" w:lineRule="auto"/>
      </w:pPr>
      <w:r>
        <w:continuationSeparator/>
      </w:r>
    </w:p>
  </w:footnote>
  <w:footnote w:type="continuationNotice" w:id="1">
    <w:p w14:paraId="08E3DB83" w14:textId="77777777" w:rsidR="00527399" w:rsidRDefault="0052739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1E93D0" w14:textId="77777777" w:rsidR="004100CF" w:rsidRDefault="004100C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F2B514" w14:textId="030E2CF6" w:rsidR="00F7044C" w:rsidRPr="004A4891" w:rsidRDefault="00F7044C" w:rsidP="005E1D97">
    <w:pPr>
      <w:pStyle w:val="Heading2"/>
      <w:pBdr>
        <w:bottom w:val="single" w:sz="2" w:space="1" w:color="222A35" w:themeColor="text2" w:themeShade="80"/>
      </w:pBdr>
      <w:ind w:left="1440" w:right="1440"/>
      <w:jc w:val="center"/>
      <w:rPr>
        <w:b w:val="0"/>
        <w:color w:val="3B3838" w:themeColor="background2" w:themeShade="40"/>
        <w:sz w:val="40"/>
      </w:rPr>
    </w:pPr>
    <w:r w:rsidRPr="004A4891">
      <w:rPr>
        <w:b w:val="0"/>
        <w:color w:val="3B3838" w:themeColor="background2" w:themeShade="40"/>
        <w:sz w:val="40"/>
      </w:rPr>
      <w:t>American Bar Association Center on Children and the Law</w:t>
    </w:r>
    <w:bookmarkStart w:id="1" w:name="_GoBack"/>
    <w:bookmarkEnd w:id="1"/>
  </w:p>
  <w:p w14:paraId="41DCD3C5" w14:textId="54828B14" w:rsidR="00814505" w:rsidRPr="005E1D97" w:rsidRDefault="007A4B05" w:rsidP="00F6516C">
    <w:pPr>
      <w:pStyle w:val="Heading2"/>
      <w:spacing w:after="240"/>
      <w:jc w:val="center"/>
      <w:rPr>
        <w:color w:val="404040" w:themeColor="text1" w:themeTint="BF"/>
        <w:sz w:val="36"/>
      </w:rPr>
    </w:pPr>
    <w:r w:rsidRPr="005E1D97">
      <w:rPr>
        <w:color w:val="404040" w:themeColor="text1" w:themeTint="BF"/>
        <w:sz w:val="36"/>
      </w:rPr>
      <w:t>New York Kinship Options</w:t>
    </w:r>
    <w:r w:rsidR="004A4891" w:rsidRPr="005E1D97">
      <w:rPr>
        <w:color w:val="404040" w:themeColor="text1" w:themeTint="BF"/>
        <w:sz w:val="36"/>
      </w:rPr>
      <w:t xml:space="preserve">:  </w:t>
    </w:r>
    <w:r w:rsidR="00AD7AAA" w:rsidRPr="005E1D97">
      <w:rPr>
        <w:color w:val="404040" w:themeColor="text1" w:themeTint="BF"/>
        <w:sz w:val="36"/>
      </w:rPr>
      <w:t xml:space="preserve">New York </w:t>
    </w:r>
    <w:r w:rsidR="007B3D82" w:rsidRPr="005E1D97">
      <w:rPr>
        <w:color w:val="404040" w:themeColor="text1" w:themeTint="BF"/>
        <w:sz w:val="36"/>
      </w:rPr>
      <w:t>Kin GAP vs Adoption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81F919" w14:textId="77777777" w:rsidR="004100CF" w:rsidRDefault="004100C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B03FB5"/>
    <w:multiLevelType w:val="hybridMultilevel"/>
    <w:tmpl w:val="9DD2FFE0"/>
    <w:lvl w:ilvl="0" w:tplc="1528EC1C">
      <w:start w:val="1"/>
      <w:numFmt w:val="bullet"/>
      <w:pStyle w:val="ListParagraph"/>
      <w:lvlText w:val=""/>
      <w:lvlJc w:val="left"/>
      <w:pPr>
        <w:ind w:left="720" w:hanging="360"/>
      </w:pPr>
      <w:rPr>
        <w:rFonts w:ascii="Wingdings 3" w:hAnsi="Wingdings 3" w:hint="default"/>
        <w:color w:val="98C0E6"/>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66E65DDA"/>
    <w:multiLevelType w:val="hybridMultilevel"/>
    <w:tmpl w:val="9F2CDAB8"/>
    <w:lvl w:ilvl="0" w:tplc="4F8CFD2E">
      <w:start w:val="1"/>
      <w:numFmt w:val="bullet"/>
      <w:pStyle w:val="3rdLevel-ListParagraph"/>
      <w:lvlText w:val=""/>
      <w:lvlJc w:val="left"/>
      <w:pPr>
        <w:ind w:left="1440" w:hanging="360"/>
      </w:pPr>
      <w:rPr>
        <w:rFonts w:ascii="Symbol" w:hAnsi="Symbol" w:hint="default"/>
        <w:b/>
        <w:i w:val="0"/>
        <w:color w:val="3B3838" w:themeColor="background2" w:themeShade="4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792E35A4"/>
    <w:multiLevelType w:val="hybridMultilevel"/>
    <w:tmpl w:val="FD809C6E"/>
    <w:lvl w:ilvl="0" w:tplc="1528EC1C">
      <w:start w:val="1"/>
      <w:numFmt w:val="bullet"/>
      <w:lvlText w:val=""/>
      <w:lvlJc w:val="left"/>
      <w:pPr>
        <w:ind w:left="1440" w:hanging="360"/>
      </w:pPr>
      <w:rPr>
        <w:rFonts w:ascii="Symbol" w:hAnsi="Symbol" w:hint="default"/>
        <w:color w:val="98C0E6"/>
        <w:sz w:val="28"/>
      </w:rPr>
    </w:lvl>
    <w:lvl w:ilvl="1" w:tplc="D86C559C">
      <w:start w:val="1"/>
      <w:numFmt w:val="bullet"/>
      <w:pStyle w:val="2ndLevel-ListParagraph"/>
      <w:lvlText w:val=""/>
      <w:lvlJc w:val="left"/>
      <w:pPr>
        <w:ind w:left="2160" w:hanging="360"/>
      </w:pPr>
      <w:rPr>
        <w:rFonts w:ascii="Symbol" w:hAnsi="Symbol" w:hint="default"/>
        <w:b/>
        <w:i w:val="0"/>
        <w:color w:val="98C0E6"/>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3D82"/>
    <w:rsid w:val="00017A5B"/>
    <w:rsid w:val="00046B4B"/>
    <w:rsid w:val="000562DF"/>
    <w:rsid w:val="00145396"/>
    <w:rsid w:val="001C4212"/>
    <w:rsid w:val="001D2F50"/>
    <w:rsid w:val="00295321"/>
    <w:rsid w:val="003265B5"/>
    <w:rsid w:val="00342EED"/>
    <w:rsid w:val="00350923"/>
    <w:rsid w:val="00353F5E"/>
    <w:rsid w:val="00390C6F"/>
    <w:rsid w:val="004100CF"/>
    <w:rsid w:val="004A4891"/>
    <w:rsid w:val="004F5BF0"/>
    <w:rsid w:val="00522A57"/>
    <w:rsid w:val="00527399"/>
    <w:rsid w:val="005345B7"/>
    <w:rsid w:val="0056464E"/>
    <w:rsid w:val="00567BCD"/>
    <w:rsid w:val="0057022F"/>
    <w:rsid w:val="005A571E"/>
    <w:rsid w:val="005B30B5"/>
    <w:rsid w:val="005E1D97"/>
    <w:rsid w:val="00607DC0"/>
    <w:rsid w:val="006174E1"/>
    <w:rsid w:val="00682184"/>
    <w:rsid w:val="006A355D"/>
    <w:rsid w:val="006C32EF"/>
    <w:rsid w:val="00712CEC"/>
    <w:rsid w:val="00774114"/>
    <w:rsid w:val="007A4B05"/>
    <w:rsid w:val="007B3D82"/>
    <w:rsid w:val="007C5DA0"/>
    <w:rsid w:val="007E3CCF"/>
    <w:rsid w:val="00814505"/>
    <w:rsid w:val="008165BB"/>
    <w:rsid w:val="00840098"/>
    <w:rsid w:val="00856DB4"/>
    <w:rsid w:val="008821AF"/>
    <w:rsid w:val="008A0A6B"/>
    <w:rsid w:val="00963CE4"/>
    <w:rsid w:val="00993469"/>
    <w:rsid w:val="009A71CD"/>
    <w:rsid w:val="00A20D12"/>
    <w:rsid w:val="00A24A15"/>
    <w:rsid w:val="00A34634"/>
    <w:rsid w:val="00A451A3"/>
    <w:rsid w:val="00AC6547"/>
    <w:rsid w:val="00AD766E"/>
    <w:rsid w:val="00AD7AAA"/>
    <w:rsid w:val="00B560D6"/>
    <w:rsid w:val="00BC0883"/>
    <w:rsid w:val="00C66216"/>
    <w:rsid w:val="00D06CC3"/>
    <w:rsid w:val="00D07201"/>
    <w:rsid w:val="00D26B05"/>
    <w:rsid w:val="00D96F04"/>
    <w:rsid w:val="00E0075F"/>
    <w:rsid w:val="00E04CBE"/>
    <w:rsid w:val="00E54503"/>
    <w:rsid w:val="00EF0775"/>
    <w:rsid w:val="00F0007F"/>
    <w:rsid w:val="00F05814"/>
    <w:rsid w:val="00F6516C"/>
    <w:rsid w:val="00F65830"/>
    <w:rsid w:val="00F704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8308B34"/>
  <w15:chartTrackingRefBased/>
  <w15:docId w15:val="{06E24E21-374D-4B84-B6CC-AA26AF128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6DB4"/>
    <w:pPr>
      <w:spacing w:after="120"/>
    </w:pPr>
    <w:rPr>
      <w:rFonts w:ascii="Segoe UI" w:hAnsi="Segoe UI"/>
      <w:color w:val="3B3838" w:themeColor="background2" w:themeShade="40"/>
      <w:spacing w:val="-6"/>
    </w:rPr>
  </w:style>
  <w:style w:type="paragraph" w:styleId="Heading1">
    <w:name w:val="heading 1"/>
    <w:basedOn w:val="Normal"/>
    <w:next w:val="Normal"/>
    <w:link w:val="Heading1Char"/>
    <w:uiPriority w:val="9"/>
    <w:qFormat/>
    <w:rsid w:val="00856DB4"/>
    <w:pPr>
      <w:keepNext/>
      <w:keepLines/>
      <w:spacing w:before="120" w:after="0"/>
      <w:outlineLvl w:val="0"/>
    </w:pPr>
    <w:rPr>
      <w:rFonts w:eastAsiaTheme="majorEastAsia" w:cstheme="majorBidi"/>
      <w:b/>
      <w:color w:val="222559"/>
      <w:sz w:val="36"/>
      <w:szCs w:val="36"/>
    </w:rPr>
  </w:style>
  <w:style w:type="paragraph" w:styleId="Heading2">
    <w:name w:val="heading 2"/>
    <w:basedOn w:val="Normal"/>
    <w:next w:val="Normal"/>
    <w:link w:val="Heading2Char"/>
    <w:uiPriority w:val="9"/>
    <w:unhideWhenUsed/>
    <w:qFormat/>
    <w:rsid w:val="00856DB4"/>
    <w:pPr>
      <w:keepNext/>
      <w:keepLines/>
      <w:spacing w:after="0"/>
      <w:outlineLvl w:val="1"/>
    </w:pPr>
    <w:rPr>
      <w:rFonts w:eastAsiaTheme="majorEastAsia" w:cstheme="majorBidi"/>
      <w:b/>
      <w:color w:val="222559"/>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B3D82"/>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7B3D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3D82"/>
  </w:style>
  <w:style w:type="paragraph" w:styleId="Footer">
    <w:name w:val="footer"/>
    <w:basedOn w:val="Normal"/>
    <w:link w:val="FooterChar"/>
    <w:uiPriority w:val="99"/>
    <w:unhideWhenUsed/>
    <w:rsid w:val="007B3D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3D82"/>
  </w:style>
  <w:style w:type="paragraph" w:styleId="ListParagraph">
    <w:name w:val="List Paragraph"/>
    <w:basedOn w:val="Normal"/>
    <w:uiPriority w:val="34"/>
    <w:qFormat/>
    <w:rsid w:val="00856DB4"/>
    <w:pPr>
      <w:numPr>
        <w:numId w:val="1"/>
      </w:numPr>
    </w:pPr>
  </w:style>
  <w:style w:type="paragraph" w:customStyle="1" w:styleId="2ndLevel-ListParagraph">
    <w:name w:val="2nd Level-List Paragraph"/>
    <w:basedOn w:val="ListParagraph"/>
    <w:qFormat/>
    <w:rsid w:val="00856DB4"/>
    <w:pPr>
      <w:numPr>
        <w:ilvl w:val="1"/>
        <w:numId w:val="2"/>
      </w:numPr>
      <w:spacing w:after="60"/>
    </w:pPr>
  </w:style>
  <w:style w:type="paragraph" w:customStyle="1" w:styleId="3rdLevel-ListParagraph">
    <w:name w:val="3rd Level-List Paragraph"/>
    <w:basedOn w:val="Normal"/>
    <w:rsid w:val="00856DB4"/>
    <w:pPr>
      <w:numPr>
        <w:numId w:val="3"/>
      </w:numPr>
      <w:spacing w:after="40"/>
      <w:ind w:right="-216"/>
    </w:pPr>
  </w:style>
  <w:style w:type="paragraph" w:customStyle="1" w:styleId="Footnote">
    <w:name w:val="Footnote"/>
    <w:basedOn w:val="FootnoteText"/>
    <w:qFormat/>
    <w:rsid w:val="00856DB4"/>
    <w:pPr>
      <w:spacing w:after="40"/>
      <w:ind w:left="180" w:hanging="180"/>
    </w:pPr>
    <w:rPr>
      <w:sz w:val="18"/>
      <w:szCs w:val="18"/>
    </w:rPr>
  </w:style>
  <w:style w:type="paragraph" w:styleId="FootnoteText">
    <w:name w:val="footnote text"/>
    <w:basedOn w:val="Normal"/>
    <w:link w:val="FootnoteTextChar"/>
    <w:uiPriority w:val="99"/>
    <w:semiHidden/>
    <w:unhideWhenUsed/>
    <w:rsid w:val="00856DB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56DB4"/>
    <w:rPr>
      <w:rFonts w:ascii="Segoe UI" w:hAnsi="Segoe UI"/>
      <w:color w:val="3B3838" w:themeColor="background2" w:themeShade="40"/>
      <w:spacing w:val="-6"/>
      <w:sz w:val="20"/>
      <w:szCs w:val="20"/>
    </w:rPr>
  </w:style>
  <w:style w:type="character" w:customStyle="1" w:styleId="Heading1Char">
    <w:name w:val="Heading 1 Char"/>
    <w:basedOn w:val="DefaultParagraphFont"/>
    <w:link w:val="Heading1"/>
    <w:uiPriority w:val="9"/>
    <w:rsid w:val="00856DB4"/>
    <w:rPr>
      <w:rFonts w:ascii="Segoe UI" w:eastAsiaTheme="majorEastAsia" w:hAnsi="Segoe UI" w:cstheme="majorBidi"/>
      <w:b/>
      <w:color w:val="222559"/>
      <w:spacing w:val="-6"/>
      <w:sz w:val="36"/>
      <w:szCs w:val="36"/>
    </w:rPr>
  </w:style>
  <w:style w:type="character" w:customStyle="1" w:styleId="Heading2Char">
    <w:name w:val="Heading 2 Char"/>
    <w:basedOn w:val="DefaultParagraphFont"/>
    <w:link w:val="Heading2"/>
    <w:uiPriority w:val="9"/>
    <w:rsid w:val="00856DB4"/>
    <w:rPr>
      <w:rFonts w:ascii="Segoe UI" w:eastAsiaTheme="majorEastAsia" w:hAnsi="Segoe UI" w:cstheme="majorBidi"/>
      <w:b/>
      <w:color w:val="222559"/>
      <w:spacing w:val="-6"/>
      <w:sz w:val="26"/>
      <w:szCs w:val="26"/>
    </w:rPr>
  </w:style>
  <w:style w:type="paragraph" w:customStyle="1" w:styleId="Reference">
    <w:name w:val="Reference"/>
    <w:basedOn w:val="Normal"/>
    <w:qFormat/>
    <w:rsid w:val="00856DB4"/>
    <w:pPr>
      <w:spacing w:after="0"/>
    </w:pPr>
  </w:style>
  <w:style w:type="paragraph" w:customStyle="1" w:styleId="TableColumnHeader">
    <w:name w:val="Table Column Header"/>
    <w:basedOn w:val="Normal"/>
    <w:qFormat/>
    <w:rsid w:val="00567BCD"/>
    <w:pPr>
      <w:spacing w:after="0" w:line="240" w:lineRule="auto"/>
      <w:jc w:val="center"/>
    </w:pPr>
    <w:rPr>
      <w:rFonts w:eastAsia="Times New Roman" w:cs="Segoe UI"/>
      <w:b/>
      <w:bCs/>
      <w:color w:val="000000" w:themeColor="text1"/>
      <w:kern w:val="24"/>
      <w:sz w:val="24"/>
      <w:szCs w:val="24"/>
    </w:rPr>
  </w:style>
  <w:style w:type="paragraph" w:customStyle="1" w:styleId="TableBodyText">
    <w:name w:val="Table Body Text"/>
    <w:basedOn w:val="Normal"/>
    <w:qFormat/>
    <w:rsid w:val="00567BCD"/>
    <w:pPr>
      <w:spacing w:after="0" w:line="240" w:lineRule="auto"/>
    </w:pPr>
  </w:style>
  <w:style w:type="paragraph" w:customStyle="1" w:styleId="TableRowHeaders">
    <w:name w:val="Table Row Headers"/>
    <w:basedOn w:val="TableBodyText"/>
    <w:qFormat/>
    <w:rsid w:val="00E54503"/>
    <w:rPr>
      <w:b/>
      <w:sz w:val="26"/>
      <w:szCs w:val="26"/>
    </w:rPr>
  </w:style>
  <w:style w:type="character" w:styleId="CommentReference">
    <w:name w:val="annotation reference"/>
    <w:basedOn w:val="DefaultParagraphFont"/>
    <w:uiPriority w:val="99"/>
    <w:semiHidden/>
    <w:unhideWhenUsed/>
    <w:rsid w:val="007C5DA0"/>
    <w:rPr>
      <w:sz w:val="16"/>
      <w:szCs w:val="16"/>
    </w:rPr>
  </w:style>
  <w:style w:type="paragraph" w:styleId="CommentText">
    <w:name w:val="annotation text"/>
    <w:basedOn w:val="Normal"/>
    <w:link w:val="CommentTextChar"/>
    <w:uiPriority w:val="99"/>
    <w:semiHidden/>
    <w:unhideWhenUsed/>
    <w:rsid w:val="007C5DA0"/>
    <w:pPr>
      <w:spacing w:line="240" w:lineRule="auto"/>
    </w:pPr>
    <w:rPr>
      <w:sz w:val="20"/>
      <w:szCs w:val="20"/>
    </w:rPr>
  </w:style>
  <w:style w:type="character" w:customStyle="1" w:styleId="CommentTextChar">
    <w:name w:val="Comment Text Char"/>
    <w:basedOn w:val="DefaultParagraphFont"/>
    <w:link w:val="CommentText"/>
    <w:uiPriority w:val="99"/>
    <w:semiHidden/>
    <w:rsid w:val="007C5DA0"/>
    <w:rPr>
      <w:rFonts w:ascii="Segoe UI" w:hAnsi="Segoe UI"/>
      <w:color w:val="3B3838" w:themeColor="background2" w:themeShade="40"/>
      <w:spacing w:val="-6"/>
      <w:sz w:val="20"/>
      <w:szCs w:val="20"/>
    </w:rPr>
  </w:style>
  <w:style w:type="paragraph" w:styleId="CommentSubject">
    <w:name w:val="annotation subject"/>
    <w:basedOn w:val="CommentText"/>
    <w:next w:val="CommentText"/>
    <w:link w:val="CommentSubjectChar"/>
    <w:uiPriority w:val="99"/>
    <w:semiHidden/>
    <w:unhideWhenUsed/>
    <w:rsid w:val="007C5DA0"/>
    <w:rPr>
      <w:b/>
      <w:bCs/>
    </w:rPr>
  </w:style>
  <w:style w:type="character" w:customStyle="1" w:styleId="CommentSubjectChar">
    <w:name w:val="Comment Subject Char"/>
    <w:basedOn w:val="CommentTextChar"/>
    <w:link w:val="CommentSubject"/>
    <w:uiPriority w:val="99"/>
    <w:semiHidden/>
    <w:rsid w:val="007C5DA0"/>
    <w:rPr>
      <w:rFonts w:ascii="Segoe UI" w:hAnsi="Segoe UI"/>
      <w:b/>
      <w:bCs/>
      <w:color w:val="3B3838" w:themeColor="background2" w:themeShade="40"/>
      <w:spacing w:val="-6"/>
      <w:sz w:val="20"/>
      <w:szCs w:val="20"/>
    </w:rPr>
  </w:style>
  <w:style w:type="paragraph" w:styleId="BalloonText">
    <w:name w:val="Balloon Text"/>
    <w:basedOn w:val="Normal"/>
    <w:link w:val="BalloonTextChar"/>
    <w:uiPriority w:val="99"/>
    <w:semiHidden/>
    <w:unhideWhenUsed/>
    <w:rsid w:val="007C5DA0"/>
    <w:pPr>
      <w:spacing w:after="0" w:line="240" w:lineRule="auto"/>
    </w:pPr>
    <w:rPr>
      <w:rFonts w:cs="Segoe UI"/>
      <w:sz w:val="18"/>
      <w:szCs w:val="18"/>
    </w:rPr>
  </w:style>
  <w:style w:type="character" w:customStyle="1" w:styleId="BalloonTextChar">
    <w:name w:val="Balloon Text Char"/>
    <w:basedOn w:val="DefaultParagraphFont"/>
    <w:link w:val="BalloonText"/>
    <w:uiPriority w:val="99"/>
    <w:semiHidden/>
    <w:rsid w:val="007C5DA0"/>
    <w:rPr>
      <w:rFonts w:ascii="Segoe UI" w:hAnsi="Segoe UI" w:cs="Segoe UI"/>
      <w:color w:val="3B3838" w:themeColor="background2" w:themeShade="40"/>
      <w:spacing w:val="-6"/>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0283926">
      <w:bodyDiv w:val="1"/>
      <w:marLeft w:val="0"/>
      <w:marRight w:val="0"/>
      <w:marTop w:val="0"/>
      <w:marBottom w:val="0"/>
      <w:divBdr>
        <w:top w:val="none" w:sz="0" w:space="0" w:color="auto"/>
        <w:left w:val="none" w:sz="0" w:space="0" w:color="auto"/>
        <w:bottom w:val="none" w:sz="0" w:space="0" w:color="auto"/>
        <w:right w:val="none" w:sz="0" w:space="0" w:color="auto"/>
      </w:divBdr>
    </w:div>
    <w:div w:id="819661701">
      <w:bodyDiv w:val="1"/>
      <w:marLeft w:val="0"/>
      <w:marRight w:val="0"/>
      <w:marTop w:val="0"/>
      <w:marBottom w:val="0"/>
      <w:divBdr>
        <w:top w:val="none" w:sz="0" w:space="0" w:color="auto"/>
        <w:left w:val="none" w:sz="0" w:space="0" w:color="auto"/>
        <w:bottom w:val="none" w:sz="0" w:space="0" w:color="auto"/>
        <w:right w:val="none" w:sz="0" w:space="0" w:color="auto"/>
      </w:divBdr>
    </w:div>
    <w:div w:id="1001737452">
      <w:bodyDiv w:val="1"/>
      <w:marLeft w:val="0"/>
      <w:marRight w:val="0"/>
      <w:marTop w:val="0"/>
      <w:marBottom w:val="0"/>
      <w:divBdr>
        <w:top w:val="none" w:sz="0" w:space="0" w:color="auto"/>
        <w:left w:val="none" w:sz="0" w:space="0" w:color="auto"/>
        <w:bottom w:val="none" w:sz="0" w:space="0" w:color="auto"/>
        <w:right w:val="none" w:sz="0" w:space="0" w:color="auto"/>
      </w:divBdr>
    </w:div>
    <w:div w:id="1390884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6F1F7FA03D74A428EDE6F116CCC04C4" ma:contentTypeVersion="15" ma:contentTypeDescription="Create a new document." ma:contentTypeScope="" ma:versionID="318e3285e6d1c02d870e77e8c03a41e8">
  <xsd:schema xmlns:xsd="http://www.w3.org/2001/XMLSchema" xmlns:xs="http://www.w3.org/2001/XMLSchema" xmlns:p="http://schemas.microsoft.com/office/2006/metadata/properties" xmlns:ns1="http://schemas.microsoft.com/sharepoint/v3" xmlns:ns3="b9c0a601-a364-4f73-8153-2fa102404aa9" xmlns:ns4="f6c5ff81-275e-4b19-a279-425e61c487a5" targetNamespace="http://schemas.microsoft.com/office/2006/metadata/properties" ma:root="true" ma:fieldsID="d0da44c350850a385cca7eec8b68666f" ns1:_="" ns3:_="" ns4:_="">
    <xsd:import namespace="http://schemas.microsoft.com/sharepoint/v3"/>
    <xsd:import namespace="b9c0a601-a364-4f73-8153-2fa102404aa9"/>
    <xsd:import namespace="f6c5ff81-275e-4b19-a279-425e61c487a5"/>
    <xsd:element name="properties">
      <xsd:complexType>
        <xsd:sequence>
          <xsd:element name="documentManagement">
            <xsd:complexType>
              <xsd:all>
                <xsd:element ref="ns1:_ip_UnifiedCompliancePolicyProperties" minOccurs="0"/>
                <xsd:element ref="ns1:_ip_UnifiedCompliancePolicyUIAction" minOccurs="0"/>
                <xsd:element ref="ns3:MediaServiceMetadata" minOccurs="0"/>
                <xsd:element ref="ns3:MediaServiceFastMetadata" minOccurs="0"/>
                <xsd:element ref="ns3:MediaServiceDateTaken" minOccurs="0"/>
                <xsd:element ref="ns3:MediaServiceAutoTags"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description="" ma:hidden="true" ma:internalName="_ip_UnifiedCompliancePolicyProperties">
      <xsd:simpleType>
        <xsd:restriction base="dms:Note"/>
      </xsd:simpleType>
    </xsd:element>
    <xsd:element name="_ip_UnifiedCompliancePolicyUIAction" ma:index="9"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9c0a601-a364-4f73-8153-2fa102404aa9"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6c5ff81-275e-4b19-a279-425e61c487a5"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2741A58-E5BA-404C-BB01-03AD2E3E36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9c0a601-a364-4f73-8153-2fa102404aa9"/>
    <ds:schemaRef ds:uri="f6c5ff81-275e-4b19-a279-425e61c487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D8451EF-8D11-4CEB-B274-57E80D077E63}">
  <ds:schemaRefs>
    <ds:schemaRef ds:uri="http://purl.org/dc/dcmitype/"/>
    <ds:schemaRef ds:uri="http://schemas.microsoft.com/office/infopath/2007/PartnerControls"/>
    <ds:schemaRef ds:uri="http://purl.org/dc/elements/1.1/"/>
    <ds:schemaRef ds:uri="http://schemas.microsoft.com/office/2006/documentManagement/types"/>
    <ds:schemaRef ds:uri="http://schemas.microsoft.com/sharepoint/v3"/>
    <ds:schemaRef ds:uri="f6c5ff81-275e-4b19-a279-425e61c487a5"/>
    <ds:schemaRef ds:uri="http://purl.org/dc/terms/"/>
    <ds:schemaRef ds:uri="http://schemas.openxmlformats.org/package/2006/metadata/core-properties"/>
    <ds:schemaRef ds:uri="b9c0a601-a364-4f73-8153-2fa102404aa9"/>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9DEF133C-620C-4FDB-BE29-055727BA97E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488</Words>
  <Characters>2785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Epstein, Heidi Redlich</dc:creator>
  <cp:keywords/>
  <dc:description/>
  <cp:lastModifiedBy>Epstein, Heidi Redlich</cp:lastModifiedBy>
  <cp:revision>4</cp:revision>
  <cp:lastPrinted>2019-05-14T18:19:00Z</cp:lastPrinted>
  <dcterms:created xsi:type="dcterms:W3CDTF">2020-11-09T16:38:00Z</dcterms:created>
  <dcterms:modified xsi:type="dcterms:W3CDTF">2020-11-16T20:00:00Z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0x010100D6F1F7FA03D74A428EDE6F116CCC04C4</vt:lpwstr>
  </property>
</Properties>
</file>